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CEC9">
      <w:pPr>
        <w:pStyle w:val="23"/>
        <w:widowControl/>
        <w:spacing w:line="240" w:lineRule="exact"/>
        <w:ind w:left="100" w:firstLine="0"/>
        <w:rPr>
          <w:b/>
        </w:rPr>
      </w:pPr>
      <w:bookmarkStart w:name="_GoBack" w:id="0"/>
      <w:bookmarkEnd w:id="0"/>
    </w:p>
    <w:tbl>
      <w:tblPr>
        <w:tblStyle w:val="4"/>
        <w:tblW w:w="9777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7"/>
      </w:tblGrid>
      <w:tr w14:paraId="17D4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930A3C2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  <w:p w14:paraId="38BB9675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  <w:r>
              <w:rPr>
                <w:b/>
              </w:rPr>
              <w:t>Görev</w:t>
            </w:r>
          </w:p>
          <w:p w14:paraId="3B4ED3B8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</w:tc>
      </w:tr>
      <w:tr w14:paraId="7B2FB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341E625">
            <w:pPr>
              <w:pStyle w:val="23"/>
              <w:widowControl/>
              <w:ind w:left="100" w:firstLine="0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r>
              <w:t>Onyedi</w:t>
            </w:r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0"/>
              </w:rPr>
              <w:t xml:space="preserve"> </w:t>
            </w:r>
            <w:r>
              <w:t>vizyonu,</w:t>
            </w:r>
            <w:r>
              <w:rPr>
                <w:spacing w:val="40"/>
              </w:rPr>
              <w:t xml:space="preserve"> </w:t>
            </w:r>
            <w:r>
              <w:t>misyonu</w:t>
            </w:r>
            <w:r>
              <w:rPr>
                <w:spacing w:val="40"/>
              </w:rPr>
              <w:t xml:space="preserve"> </w:t>
            </w:r>
            <w:r>
              <w:t>doğrultusunda</w:t>
            </w:r>
            <w:r>
              <w:rPr>
                <w:spacing w:val="40"/>
              </w:rPr>
              <w:t xml:space="preserve"> </w:t>
            </w:r>
            <w:r>
              <w:t>eğitim-öğretim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bilimsel</w:t>
            </w:r>
            <w:r>
              <w:rPr>
                <w:spacing w:val="40"/>
              </w:rPr>
              <w:t xml:space="preserve"> </w:t>
            </w:r>
            <w:r>
              <w:t>çalışmaları</w:t>
            </w:r>
            <w:r>
              <w:rPr>
                <w:spacing w:val="40"/>
              </w:rPr>
              <w:t xml:space="preserve"> </w:t>
            </w:r>
            <w:r>
              <w:t>stratejik hedefler, KYS şartları, akreditasyon ölçütleri, verimlilik ve iş güvenliği ilkelerine uygun, etkin ve ekonomik bir şekilde gerçekleştirmek</w:t>
            </w:r>
            <w:r>
              <w:rPr>
                <w:spacing w:val="40"/>
              </w:rPr>
              <w:t xml:space="preserve"> </w:t>
            </w:r>
            <w:r>
              <w:t>için gerekli tüm faaliyetleri planlamak, yönlendirmek, koordine etmek ve denetlemek.</w:t>
            </w:r>
          </w:p>
          <w:p w14:paraId="3F3CD179">
            <w:pPr>
              <w:pStyle w:val="23"/>
              <w:widowControl/>
              <w:ind w:left="100" w:firstLine="0"/>
            </w:pPr>
          </w:p>
        </w:tc>
      </w:tr>
      <w:tr w14:paraId="71620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FF9AC7C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  <w:r>
              <w:rPr>
                <w:b/>
              </w:rPr>
              <w:t>Üst Amiri</w:t>
            </w:r>
          </w:p>
          <w:p w14:paraId="425BC6DF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</w:tc>
      </w:tr>
      <w:tr w14:paraId="0F1E4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2ECD160">
            <w:pPr>
              <w:pStyle w:val="23"/>
              <w:widowControl/>
              <w:spacing w:line="240" w:lineRule="exact"/>
              <w:ind w:left="100" w:firstLine="0"/>
            </w:pPr>
            <w:r>
              <w:t>Rektör</w:t>
            </w:r>
          </w:p>
          <w:p w14:paraId="6BBDFEF2">
            <w:pPr>
              <w:pStyle w:val="23"/>
              <w:widowControl/>
              <w:spacing w:line="240" w:lineRule="exact"/>
              <w:ind w:left="100" w:firstLine="0"/>
            </w:pPr>
          </w:p>
        </w:tc>
      </w:tr>
      <w:tr w14:paraId="1AABB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0E90365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  <w:r>
              <w:rPr>
                <w:b/>
              </w:rPr>
              <w:t>Vekili</w:t>
            </w:r>
          </w:p>
          <w:p w14:paraId="4CACB111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</w:tc>
      </w:tr>
      <w:tr w14:paraId="1D542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095F0F72">
            <w:pPr>
              <w:pStyle w:val="23"/>
              <w:widowControl/>
              <w:spacing w:line="240" w:lineRule="exact"/>
              <w:ind w:left="100" w:firstLine="0"/>
            </w:pPr>
            <w:r>
              <w:t>Dekan Yardımcısı</w:t>
            </w:r>
          </w:p>
          <w:p w14:paraId="3BA89BCB">
            <w:pPr>
              <w:pStyle w:val="23"/>
              <w:widowControl/>
              <w:spacing w:line="240" w:lineRule="exact"/>
              <w:ind w:left="100" w:firstLine="0"/>
            </w:pPr>
          </w:p>
        </w:tc>
      </w:tr>
      <w:tr w14:paraId="5DC67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0765AC5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  <w:r>
              <w:rPr>
                <w:b/>
              </w:rPr>
              <w:t>Nitelikler</w:t>
            </w:r>
          </w:p>
          <w:p w14:paraId="13C5D73E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</w:tc>
      </w:tr>
      <w:tr w14:paraId="77854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28CF9CF4">
            <w:pPr>
              <w:pStyle w:val="23"/>
              <w:widowControl/>
              <w:numPr>
                <w:ilvl w:val="0"/>
                <w:numId w:val="1"/>
              </w:numPr>
              <w:tabs>
                <w:tab w:val="left" w:pos="560"/>
              </w:tabs>
              <w:spacing w:line="280" w:lineRule="exact"/>
              <w:rPr>
                <w:rFonts w:ascii="Symbol" w:hAnsi="Symbol" w:cs="Symbol"/>
                <w:sz w:val="24"/>
              </w:rPr>
            </w:pPr>
            <w:r>
              <w:t>2547 sayılı Yükseköğretim Kanununda belirtilen niteliklere sahip olmak,</w:t>
            </w:r>
          </w:p>
          <w:p w14:paraId="5A529D51">
            <w:pPr>
              <w:pStyle w:val="23"/>
              <w:widowControl/>
              <w:numPr>
                <w:ilvl w:val="0"/>
                <w:numId w:val="1"/>
              </w:numPr>
              <w:tabs>
                <w:tab w:val="left" w:pos="560"/>
              </w:tabs>
            </w:pPr>
            <w:r>
              <w:t>Görevin gerektirdiği “ilgili mevzuatı” bilmek,</w:t>
            </w:r>
          </w:p>
          <w:p w14:paraId="75910100">
            <w:pPr>
              <w:pStyle w:val="23"/>
              <w:widowControl/>
              <w:numPr>
                <w:ilvl w:val="0"/>
                <w:numId w:val="1"/>
              </w:numPr>
              <w:tabs>
                <w:tab w:val="left" w:pos="560"/>
              </w:tabs>
            </w:pPr>
            <w:r>
              <w:t>Görevin gerektirdiği ofis donanımları, yazılımları ve araç-gereçleri kullanabilmek,</w:t>
            </w:r>
          </w:p>
          <w:p w14:paraId="62B871BD">
            <w:pPr>
              <w:pStyle w:val="23"/>
              <w:widowControl/>
              <w:numPr>
                <w:ilvl w:val="0"/>
                <w:numId w:val="1"/>
              </w:numPr>
              <w:tabs>
                <w:tab w:val="left" w:pos="560"/>
              </w:tabs>
            </w:pPr>
            <w:r>
              <w:t>Yöneticilik niteliklerine sahip olmak,</w:t>
            </w:r>
          </w:p>
          <w:p w14:paraId="10FCEF87">
            <w:pPr>
              <w:pStyle w:val="23"/>
              <w:widowControl/>
              <w:numPr>
                <w:ilvl w:val="0"/>
                <w:numId w:val="1"/>
              </w:numPr>
              <w:tabs>
                <w:tab w:val="left" w:pos="560"/>
              </w:tabs>
            </w:pPr>
            <w:r>
              <w:t>Faaliyetlerini en iyi şekilde sürdürebilme</w:t>
            </w:r>
            <w:r>
              <w:rPr>
                <w:rFonts w:hint="default"/>
                <w:lang w:val="tr-TR"/>
              </w:rPr>
              <w:t>k</w:t>
            </w:r>
            <w:r>
              <w:t xml:space="preserve"> için gerekli karar verme</w:t>
            </w:r>
            <w:r>
              <w:rPr>
                <w:rFonts w:hint="default"/>
                <w:lang w:val="tr-TR"/>
              </w:rPr>
              <w:t>,</w:t>
            </w:r>
            <w:r>
              <w:t xml:space="preserve"> sorun çözme niteliklerine sahip</w:t>
            </w:r>
          </w:p>
          <w:p w14:paraId="1CD3794D">
            <w:pPr>
              <w:pStyle w:val="23"/>
              <w:widowControl/>
              <w:tabs>
                <w:tab w:val="left" w:pos="560"/>
              </w:tabs>
              <w:spacing w:line="260" w:lineRule="exact"/>
              <w:ind w:right="100" w:firstLine="0"/>
            </w:pPr>
            <w:r>
              <w:t>olmak.</w:t>
            </w:r>
          </w:p>
          <w:p w14:paraId="2B4B6796">
            <w:pPr>
              <w:pStyle w:val="23"/>
              <w:widowControl/>
              <w:tabs>
                <w:tab w:val="left" w:pos="560"/>
              </w:tabs>
              <w:spacing w:line="260" w:lineRule="exact"/>
              <w:ind w:right="100" w:firstLine="0"/>
            </w:pPr>
          </w:p>
        </w:tc>
      </w:tr>
      <w:tr w14:paraId="5B5E1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8939E7F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  <w:r>
              <w:rPr>
                <w:b/>
              </w:rPr>
              <w:t>İlgili Mevzuat</w:t>
            </w:r>
          </w:p>
          <w:p w14:paraId="6C5B5073">
            <w:pPr>
              <w:pStyle w:val="23"/>
              <w:widowControl/>
              <w:spacing w:line="240" w:lineRule="exact"/>
              <w:ind w:left="100" w:firstLine="0"/>
              <w:rPr>
                <w:b/>
              </w:rPr>
            </w:pPr>
          </w:p>
        </w:tc>
      </w:tr>
      <w:tr w14:paraId="3C70D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58644AA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80" w:lineRule="exact"/>
            </w:pPr>
            <w:r>
              <w:t>2547 sayılı Yükseköğretim Kanunu</w:t>
            </w:r>
          </w:p>
          <w:p w14:paraId="121309F0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2914 sayılı Yükseköğretim Personel Kanunu</w:t>
            </w:r>
          </w:p>
          <w:p w14:paraId="7ED5A6C2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657 sayılı Devlet Memurları Kanunu</w:t>
            </w:r>
          </w:p>
          <w:p w14:paraId="4E87F158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4483 sayılı Memurlar ve Diğer Kamu Görevlilerinin Yargılanması Hakkında Kanun</w:t>
            </w:r>
          </w:p>
          <w:p w14:paraId="2BB2F99E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5018 sayılı Kamu Mali Yönetimi ve Kontrol Kanunu</w:t>
            </w:r>
          </w:p>
          <w:p w14:paraId="5FD58A84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5510 sayılı Sosyal Güvenlik Kanunu</w:t>
            </w:r>
          </w:p>
          <w:p w14:paraId="28455680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6698 sayılı Kişisel Verilerin Korunması Kanunu</w:t>
            </w:r>
          </w:p>
          <w:p w14:paraId="64CB46F4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6331 sayılı İş Sağlığı ve Güvenliği Kanunu</w:t>
            </w:r>
          </w:p>
          <w:p w14:paraId="7F088EB0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4734 sayılı Kamu İhale Kanunu ve diğer ikincil mevzuatı</w:t>
            </w:r>
          </w:p>
          <w:p w14:paraId="24CC3B39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ind w:right="100"/>
            </w:pP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Üst</w:t>
            </w:r>
            <w:r>
              <w:rPr>
                <w:spacing w:val="80"/>
              </w:rPr>
              <w:t xml:space="preserve"> </w:t>
            </w:r>
            <w:r>
              <w:t>Kuruluşları</w:t>
            </w:r>
            <w:r>
              <w:rPr>
                <w:spacing w:val="80"/>
              </w:rPr>
              <w:t xml:space="preserve"> </w:t>
            </w:r>
            <w:r>
              <w:t>ile</w:t>
            </w:r>
            <w:r>
              <w:rPr>
                <w:spacing w:val="80"/>
              </w:rPr>
              <w:t xml:space="preserve"> </w:t>
            </w:r>
            <w:r>
              <w:t>Yükseköğretim</w:t>
            </w:r>
            <w:r>
              <w:rPr>
                <w:spacing w:val="80"/>
              </w:rPr>
              <w:t xml:space="preserve"> </w:t>
            </w:r>
            <w:r>
              <w:t>Kurumlarının</w:t>
            </w:r>
            <w:r>
              <w:rPr>
                <w:spacing w:val="80"/>
              </w:rPr>
              <w:t xml:space="preserve"> </w:t>
            </w:r>
            <w:r>
              <w:t>İdari</w:t>
            </w:r>
            <w:r>
              <w:rPr>
                <w:spacing w:val="80"/>
              </w:rPr>
              <w:t xml:space="preserve"> </w:t>
            </w:r>
            <w:r>
              <w:t>Teşkilatı</w:t>
            </w:r>
            <w:r>
              <w:rPr>
                <w:spacing w:val="80"/>
              </w:rPr>
              <w:t xml:space="preserve"> </w:t>
            </w:r>
            <w:r>
              <w:t>Hakkında</w:t>
            </w:r>
            <w:r>
              <w:rPr>
                <w:spacing w:val="80"/>
              </w:rPr>
              <w:t xml:space="preserve"> </w:t>
            </w:r>
            <w:r>
              <w:t>Kanun Hükmünde Kararname</w:t>
            </w:r>
          </w:p>
          <w:p w14:paraId="73D45B94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Merkezi Yönetim Harcama Belgeleri Yönetmeliği</w:t>
            </w:r>
          </w:p>
          <w:p w14:paraId="5AB19108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Taşınır Mal Yönetmeliği</w:t>
            </w:r>
          </w:p>
          <w:p w14:paraId="6FE8CC89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Resmi Yazışmalarda Uygulanacak Usul Ve Esaslar Hakkında Yönetmelik</w:t>
            </w:r>
          </w:p>
          <w:p w14:paraId="51D5005D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Üniversitelerde Akademik Teşkilat Yönetmeliği</w:t>
            </w:r>
          </w:p>
          <w:p w14:paraId="755327A7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Yükseköğretim Kurumlarında Akademik Kurulların Oluşturulması ve Bilimsel Denetim Yönetmeliği</w:t>
            </w:r>
          </w:p>
          <w:p w14:paraId="06859F3E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Yükseköğretim Kurumlarında Akademik Değerlendirme ve Kalite Geliştirme Yönetmeliği</w:t>
            </w:r>
          </w:p>
          <w:p w14:paraId="11B50298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Öğretim Üyeliğine Yükseltilme ve Atanma Yönetmeliği</w:t>
            </w:r>
          </w:p>
          <w:p w14:paraId="4DB6B168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Öğretim</w:t>
            </w:r>
            <w:r>
              <w:rPr>
                <w:spacing w:val="60"/>
              </w:rPr>
              <w:t xml:space="preserve"> </w:t>
            </w:r>
            <w:r>
              <w:t>Üyesi</w:t>
            </w:r>
            <w:r>
              <w:rPr>
                <w:spacing w:val="60"/>
              </w:rPr>
              <w:t xml:space="preserve"> </w:t>
            </w:r>
            <w:r>
              <w:t>Dışındaki</w:t>
            </w:r>
            <w:r>
              <w:rPr>
                <w:spacing w:val="60"/>
              </w:rPr>
              <w:t xml:space="preserve"> </w:t>
            </w:r>
            <w:r>
              <w:t>Öğretim</w:t>
            </w:r>
            <w:r>
              <w:rPr>
                <w:spacing w:val="60"/>
              </w:rPr>
              <w:t xml:space="preserve"> </w:t>
            </w:r>
            <w:r>
              <w:t>Elemanı</w:t>
            </w:r>
            <w:r>
              <w:rPr>
                <w:spacing w:val="60"/>
              </w:rPr>
              <w:t xml:space="preserve"> </w:t>
            </w:r>
            <w:r>
              <w:t>Kadrolarına</w:t>
            </w:r>
            <w:r>
              <w:rPr>
                <w:spacing w:val="60"/>
              </w:rPr>
              <w:t xml:space="preserve"> </w:t>
            </w:r>
            <w:r>
              <w:t>Naklen</w:t>
            </w:r>
            <w:r>
              <w:rPr>
                <w:spacing w:val="60"/>
              </w:rPr>
              <w:t xml:space="preserve"> </w:t>
            </w:r>
            <w:r>
              <w:t>ve</w:t>
            </w:r>
            <w:r>
              <w:rPr>
                <w:spacing w:val="60"/>
              </w:rPr>
              <w:t xml:space="preserve"> </w:t>
            </w:r>
            <w:r>
              <w:t>Açıktan</w:t>
            </w:r>
            <w:r>
              <w:rPr>
                <w:spacing w:val="60"/>
              </w:rPr>
              <w:t xml:space="preserve"> </w:t>
            </w:r>
            <w:r>
              <w:t>Yapılacak</w:t>
            </w:r>
            <w:r>
              <w:rPr>
                <w:spacing w:val="60"/>
              </w:rPr>
              <w:t xml:space="preserve"> </w:t>
            </w:r>
            <w:r>
              <w:t>Atamalarda</w:t>
            </w:r>
          </w:p>
          <w:p w14:paraId="2BD39DF2">
            <w:pPr>
              <w:pStyle w:val="23"/>
              <w:widowControl/>
              <w:spacing w:line="260" w:lineRule="exact"/>
              <w:ind w:firstLine="0"/>
            </w:pPr>
            <w:r>
              <w:t>Uygulanacak Merkezi Sınav İle Giriş Sınavlarına İlişkin Usul ve Esaslar Hakkında Yönetmelik</w:t>
            </w:r>
          </w:p>
          <w:p w14:paraId="798802BE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Yurtiçinde ve Yurtdışında Görevlendirmelerde Uyulacak Esaslara İlişkin Yönetmelik</w:t>
            </w:r>
          </w:p>
          <w:p w14:paraId="5C9B282D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Yükseköğretim Kurumları Yönetici, Öğretim Elemanları ve Memurları Disiplin Yönetmeliği</w:t>
            </w:r>
          </w:p>
          <w:p w14:paraId="26A4C71D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</w:pPr>
            <w:r>
              <w:t>Yükseköğretim Kurumları Öğrenci Disiplin Yönetmeliği</w:t>
            </w:r>
          </w:p>
          <w:p w14:paraId="224BE274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t>Bandırma Onyedi Eylül Üniversitesi Ön Lisans ve Lisans Eğitim-Öğretim ve Sınav Yönetmeliği</w:t>
            </w:r>
          </w:p>
          <w:p w14:paraId="003C5C59">
            <w:pPr>
              <w:pStyle w:val="23"/>
              <w:widowControl/>
              <w:numPr>
                <w:ilvl w:val="0"/>
                <w:numId w:val="2"/>
              </w:numPr>
              <w:tabs>
                <w:tab w:val="left" w:pos="560"/>
              </w:tabs>
              <w:spacing w:line="260" w:lineRule="exact"/>
            </w:pPr>
            <w:r>
              <w:rPr>
                <w:rFonts w:cs="Calibri"/>
                <w:lang w:val="tr" w:eastAsia="en-US" w:bidi="ar"/>
              </w:rPr>
              <w:t>Üniversitemizin ilgili diğer yönetmelik ve yönergeleri</w:t>
            </w:r>
          </w:p>
          <w:p w14:paraId="5FFD877E">
            <w:pPr>
              <w:pStyle w:val="23"/>
              <w:widowControl/>
              <w:numPr>
                <w:ilvl w:val="0"/>
                <w:numId w:val="0"/>
              </w:numPr>
              <w:tabs>
                <w:tab w:val="left" w:pos="560"/>
              </w:tabs>
              <w:spacing w:line="260" w:lineRule="exact"/>
              <w:ind w:left="200" w:leftChars="0"/>
            </w:pPr>
          </w:p>
        </w:tc>
      </w:tr>
      <w:tr w14:paraId="591FB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279CA57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  <w:t>Görev ve Sorumluluklar</w:t>
            </w:r>
          </w:p>
          <w:p w14:paraId="04C1A023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</w:p>
        </w:tc>
      </w:tr>
      <w:tr w14:paraId="6B717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16429140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kurullarına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başkanlık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etmek,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kurullarının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kararlarını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uygulamak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birimleri arasında düzenli çalışmayı sağlamak,</w:t>
            </w:r>
          </w:p>
          <w:p w14:paraId="76A45ACA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Üniversite Senato ve Yönetim Kurulu toplantılarına katılmak,</w:t>
            </w:r>
          </w:p>
          <w:p w14:paraId="665D4AC7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Her öğretim yılı sonunda ve istendiğinde fakültenin genel durumu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val="tr-TR" w:eastAsia="zh-CN" w:bidi="ar"/>
              </w:rPr>
              <w:t>,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 xml:space="preserve"> işleyişi hakkında Rektöre rapor</w:t>
            </w:r>
          </w:p>
          <w:p w14:paraId="3C895601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/>
              <w:ind w:left="56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vermek,</w:t>
            </w:r>
          </w:p>
          <w:p w14:paraId="761871A6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ödenek ve kadro ihtiyaçlarını gerekçesi ile birlikte Rektörlüğe bildirmek,</w:t>
            </w:r>
          </w:p>
          <w:p w14:paraId="44E6FE5B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birimleri ve personeli üzerinde genel gözetim ve denetim görevini sürdürmek,</w:t>
            </w:r>
          </w:p>
          <w:p w14:paraId="72F0EB98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bütçesi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öneriyi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yönet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val="tr-TR" w:eastAsia="zh-CN" w:bidi="ar"/>
              </w:rPr>
              <w:t>i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m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kurulunun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val="tr-TR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görüşünü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aldıktan</w:t>
            </w:r>
            <w:r>
              <w:rPr>
                <w:rFonts w:ascii="Calibri" w:hAnsi="Calibri" w:eastAsia="Calibri" w:cs="Calibri"/>
                <w:spacing w:val="2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sonra</w:t>
            </w:r>
            <w:r>
              <w:rPr>
                <w:rFonts w:ascii="Calibri" w:hAnsi="Calibri" w:eastAsia="Calibri" w:cs="Calibri"/>
                <w:spacing w:val="4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Rektörlüğe</w:t>
            </w:r>
            <w:r>
              <w:rPr>
                <w:rFonts w:hint="default" w:ascii="Calibri" w:hAnsi="Calibri" w:eastAsia="Calibri" w:cs="Calibri"/>
                <w:sz w:val="22"/>
                <w:szCs w:val="22"/>
                <w:lang w:val="tr-TR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sunmak,</w:t>
            </w:r>
          </w:p>
          <w:p w14:paraId="06F669B0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diğer birimlerle, kuruluşlarla ve üst yönetimle olan ilişkilerini düzenlemek ve temsil görevini</w:t>
            </w:r>
          </w:p>
          <w:p w14:paraId="11BE8D54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/>
              <w:ind w:left="56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yerine getirmek,</w:t>
            </w:r>
          </w:p>
          <w:p w14:paraId="52FB9252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Eğitim-öğretim, bilimsel araştırma ve yayın faaliyetlerinin düzenli olarak gerçekleştirilmesini sağlamak,</w:t>
            </w:r>
          </w:p>
          <w:p w14:paraId="0A70F4A0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ve bağlı birimlerin öğretim kapasitesinin doğru bir şekilde kullanılmasını ve geliştirilmesini sağlamak,</w:t>
            </w:r>
          </w:p>
          <w:p w14:paraId="029DFBAB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ihtiyaçlarını gerekçesi ile birlikte Rektörlüğe iletmek,</w:t>
            </w:r>
          </w:p>
          <w:p w14:paraId="72920DBA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Fakültenin fiziksel koşullarını iyileştirmek için gerekli tedbirleri almak,</w:t>
            </w:r>
          </w:p>
          <w:p w14:paraId="36371530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Bütçeyle ödenek tahsis edilen her harcama birimi için üst yönetici olarak harcama yetkisini kullanmak,</w:t>
            </w:r>
          </w:p>
          <w:p w14:paraId="6ACFF61B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100"/>
              <w:jc w:val="both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Harcama talimatlarının, bütçe ilkeleri, kanun, tüzük, yönetmelik ve diğer mevzuatlara uygun olmasını sağlamak ve ödeneklerin etkili, ekonomik ve verimli kullanılmasını sağlamak,</w:t>
            </w:r>
          </w:p>
          <w:p w14:paraId="50E2A04A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right="100"/>
              <w:jc w:val="both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Taşınırların etkili, ekonomik, verimli ve yasalara uygun bir şekilde temin edilip kullanılmasını sağlamak; bunun kontrolünü yaparak, taşınır kayıt ve kontrol yetkilisi aracılığıyla kayıtların şeffaf bir şekilde tutulmasını ve hazırlanan yönetim hesabının sunulmasını sağlamak,</w:t>
            </w:r>
          </w:p>
          <w:p w14:paraId="027F9A65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hanging="340"/>
              <w:jc w:val="both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Kanun ve yönetmelikler ile verilen diğer görevleri yapmak,</w:t>
            </w:r>
          </w:p>
          <w:p w14:paraId="778619E9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atLeast"/>
              <w:ind w:right="100"/>
              <w:jc w:val="both"/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Yukarıda belirtilen tüm görevleri kanunlara ve yönetmeliklere uygun bir şekilde yerine getirirken Rektöre karşı sorumludur.</w:t>
            </w:r>
          </w:p>
          <w:p w14:paraId="34D3EA26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atLeast"/>
              <w:ind w:left="200" w:leftChars="0" w:right="100" w:rightChars="0"/>
              <w:jc w:val="both"/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</w:pPr>
          </w:p>
        </w:tc>
      </w:tr>
      <w:tr w14:paraId="0EC89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38746A0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  <w:t xml:space="preserve">Kalite Yönetim Komisyonu </w:t>
            </w: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  <w:t>KYS) Kapsamında Görev ve Sorumluluklar</w:t>
            </w:r>
          </w:p>
          <w:p w14:paraId="23FE461A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</w:p>
        </w:tc>
      </w:tr>
      <w:tr w14:paraId="12894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9CDAAC8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Üniversitenin Misyonunu, Vizyonunu, Kalite Politikasını benimsemek, bu doğrultuda hareket etmek ve biriminde bu doğrultuda hareket edilmesini sağlamak,</w:t>
            </w:r>
          </w:p>
          <w:p w14:paraId="420B8B96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Birim stratejik planının hazırlanmasına ve izleme raporlarının hazırlanmasına katkı sağlamak,</w:t>
            </w:r>
          </w:p>
          <w:p w14:paraId="4AF496E8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Birim kalite hedeflerini belirlemek ve ulaşılması için üzerine düşen çalışmaları yapmak,</w:t>
            </w:r>
          </w:p>
          <w:p w14:paraId="64BBA1FD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Faaliyetlerini yürütürken BANÜ KYS dokümanlarına uygun hareket edilmesini ve kayıtlara yönelik ilgili</w:t>
            </w:r>
          </w:p>
          <w:p w14:paraId="5251FD7B">
            <w:pPr>
              <w:pStyle w:val="10"/>
              <w:widowControl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koordinasyonu sağlamak,</w:t>
            </w:r>
          </w:p>
          <w:p w14:paraId="519E4654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KYS kapsamında biriminde yapılacak düzeltici ve önleyici faaliyetlerin yerine getirilmesine katkı sağlamak,</w:t>
            </w:r>
          </w:p>
          <w:p w14:paraId="7807F749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right="100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Yaptığı işle ilgili iyileştirme önerilerini Kalite Koordinatörlüğü ile paylaşmak,</w:t>
            </w:r>
          </w:p>
          <w:p w14:paraId="5595B9D2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KYS çalışmaları kapsamında yapılan faaliyetlere birimi adına katkı sağlamak.</w:t>
            </w:r>
          </w:p>
          <w:p w14:paraId="4C8DB01F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/>
              <w:rPr>
                <w:lang w:val="en-US"/>
              </w:rPr>
            </w:pPr>
          </w:p>
        </w:tc>
      </w:tr>
      <w:tr w14:paraId="66567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5FA11594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  <w:t>Yetkiler</w:t>
            </w:r>
          </w:p>
          <w:p w14:paraId="20C578BF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100"/>
              <w:rPr>
                <w:rFonts w:ascii="Calibri" w:hAnsi="Calibri" w:eastAsia="Calibri" w:cs="Calibri"/>
                <w:b/>
                <w:sz w:val="22"/>
                <w:szCs w:val="22"/>
                <w:lang w:val="en-US" w:eastAsia="zh-CN" w:bidi="ar"/>
              </w:rPr>
            </w:pPr>
          </w:p>
        </w:tc>
      </w:tr>
      <w:tr w14:paraId="1A835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63F1B2A6">
            <w:pPr>
              <w:pStyle w:val="10"/>
              <w:widowControl w:val="0"/>
              <w:numPr>
                <w:ilvl w:val="0"/>
                <w:numId w:val="5"/>
              </w:numPr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rPr>
                <w:lang w:val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Temsil yetkisi, imza yetkisi, harcama yetkisi, disiplin amiri yetkisi, idaresinde bulunan her kademedeki</w:t>
            </w:r>
          </w:p>
          <w:p w14:paraId="6EE2D444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520"/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  <w:t>personele iş verme, kontrol etme, düzeltme, uyarma, bilgi ve rapor talep etme yetkisi.</w:t>
            </w:r>
          </w:p>
          <w:p w14:paraId="528D5DEC">
            <w:pPr>
              <w:pStyle w:val="10"/>
              <w:widowControl w:val="0"/>
              <w:autoSpaceDE w:val="0"/>
              <w:autoSpaceDN w:val="0"/>
              <w:spacing w:before="0" w:beforeAutospacing="0" w:after="0" w:afterAutospacing="0" w:line="240" w:lineRule="exact"/>
              <w:ind w:left="520"/>
              <w:rPr>
                <w:rFonts w:ascii="Calibri" w:hAnsi="Calibri" w:eastAsia="Calibri" w:cs="Calibri"/>
                <w:sz w:val="22"/>
                <w:szCs w:val="22"/>
                <w:lang w:val="en-US" w:eastAsia="zh-CN" w:bidi="ar"/>
              </w:rPr>
            </w:pPr>
          </w:p>
        </w:tc>
      </w:tr>
    </w:tbl>
    <w:p w14:paraId="0392ECD7"/>
    <w:p w14:paraId="2AE7C9DF"/>
    <w:p w14:paraId="76F14843"/>
    <w:p w14:paraId="409208FA"/>
    <w:p w14:paraId="48948C38"/>
    <w:p w14:paraId="733B7E0A"/>
    <w:p w14:paraId="027E366F"/>
    <w:p w14:paraId="6D4FCECE"/>
    <w:p w14:paraId="5096D7C0"/>
    <w:p w14:paraId="549C0EE7"/>
    <w:sectPr>
      <w:footerReference r:id="Re1dfbcafa30943cc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8"/>
            <w:widowControl w:val="0"/>
            <w:tabs>
              <w:tab w:val="clear" w:pos="4536"/>
              <w:tab w:val="clear" w:pos="9072"/>
            </w:tabs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8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widowControl w:val="0"/>
            <w:autoSpaceDE w:val="0"/>
            <w:autoSpaceDN w:val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widowControl w:val="0"/>
            <w:tabs>
              <w:tab w:val="left" w:pos="1182"/>
            </w:tabs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GT/İTBF/01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21.08.2025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widowControl w:val="0"/>
            <w:autoSpaceDE w:val="0"/>
            <w:autoSpaceDN w:val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DEKAN GÖREV TANIMI FORMU</w:t>
          </w:r>
        </w:p>
      </w:tc>
      <w:tc>
        <w:tcPr>
          <w:tcW w:w="1842" w:type="dxa"/>
          <w:vAlign w:val="center"/>
        </w:tcPr>
        <w:p w14:paraId="5A7A871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widowControl w:val="0"/>
            <w:autoSpaceDE w:val="0"/>
            <w:autoSpaceDN w:val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widowControl w:val="0"/>
            <w:autoSpaceDE w:val="0"/>
            <w:autoSpaceDN w:val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widowControl w:val="0"/>
            <w:autoSpaceDE w:val="0"/>
            <w:autoSpaceDN w:val="0"/>
            <w:jc w:val="left"/>
            <w:rPr>
              <w:rFonts w:cstheme="minorHAnsi"/>
              <w:bCs/>
              <w:sz w:val="22"/>
            </w:rPr>
          </w:pPr>
          <w:r>
            <w:rPr>
              <w:rStyle w:val="11"/>
              <w:rFonts w:cstheme="minorHAnsi"/>
              <w:bCs/>
              <w:sz w:val="22"/>
            </w:rPr>
            <w:fldChar w:fldCharType="begin"/>
          </w:r>
          <w:r>
            <w:rPr>
              <w:rStyle w:val="11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1"/>
              <w:rFonts w:cstheme="minorHAnsi"/>
              <w:bCs/>
              <w:sz w:val="22"/>
            </w:rPr>
            <w:fldChar w:fldCharType="separate"/>
          </w:r>
          <w:r>
            <w:rPr>
              <w:rStyle w:val="11"/>
              <w:rFonts w:cstheme="minorHAnsi"/>
              <w:bCs/>
              <w:sz w:val="22"/>
            </w:rPr>
            <w:t>1</w:t>
          </w:r>
          <w:r>
            <w:rPr>
              <w:rStyle w:val="11"/>
              <w:rFonts w:cstheme="minorHAnsi"/>
              <w:bCs/>
              <w:sz w:val="22"/>
            </w:rPr>
            <w:fldChar w:fldCharType="end"/>
          </w:r>
          <w:r>
            <w:rPr>
              <w:rStyle w:val="11"/>
              <w:rFonts w:cstheme="minorHAnsi"/>
              <w:bCs/>
              <w:sz w:val="22"/>
            </w:rPr>
            <w:t>/</w:t>
          </w:r>
          <w:r>
            <w:rPr>
              <w:rStyle w:val="11"/>
              <w:rFonts w:cstheme="minorHAnsi"/>
              <w:sz w:val="22"/>
            </w:rPr>
            <w:fldChar w:fldCharType="begin"/>
          </w:r>
          <w:r>
            <w:rPr>
              <w:rStyle w:val="11"/>
              <w:rFonts w:cstheme="minorHAnsi"/>
              <w:sz w:val="22"/>
            </w:rPr>
            <w:instrText xml:space="preserve"> NUMPAGES </w:instrText>
          </w:r>
          <w:r>
            <w:rPr>
              <w:rStyle w:val="11"/>
              <w:rFonts w:cstheme="minorHAnsi"/>
              <w:sz w:val="22"/>
            </w:rPr>
            <w:fldChar w:fldCharType="separate"/>
          </w:r>
          <w:r>
            <w:rPr>
              <w:rStyle w:val="11"/>
              <w:rFonts w:cstheme="minorHAnsi"/>
              <w:sz w:val="22"/>
            </w:rPr>
            <w:t>1</w:t>
          </w:r>
          <w:r>
            <w:rPr>
              <w:rStyle w:val="11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9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0DD33"/>
    <w:multiLevelType w:val="multilevel"/>
    <w:tmpl w:val="03D0DD33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spacing w:val="0"/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1F1736DA"/>
    <w:multiLevelType w:val="multilevel"/>
    <w:tmpl w:val="1F1736DA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4079CFAC"/>
    <w:multiLevelType w:val="multilevel"/>
    <w:tmpl w:val="4079CFAC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6F9D3F85"/>
    <w:multiLevelType w:val="multilevel"/>
    <w:tmpl w:val="6F9D3F85"/>
    <w:lvl w:ilvl="0" w:tentative="0">
      <w:start w:val="0"/>
      <w:numFmt w:val="bullet"/>
      <w:lvlText w:val=""/>
      <w:lvlJc w:val="left"/>
      <w:pPr>
        <w:ind w:left="560" w:hanging="360"/>
      </w:pPr>
      <w:rPr>
        <w:rFonts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7D6907F1"/>
    <w:multiLevelType w:val="multilevel"/>
    <w:tmpl w:val="7D6907F1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70402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3CFD6F01"/>
    <w:rsid w:val="42BB7B71"/>
    <w:rsid w:val="4E3D1077"/>
    <w:rsid w:val="64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21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1">
    <w:name w:val="page number"/>
    <w:basedOn w:val="3"/>
    <w:qFormat/>
    <w:uiPriority w:val="0"/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4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5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6">
    <w:name w:val="Üst Bilgi Char"/>
    <w:basedOn w:val="3"/>
    <w:link w:val="9"/>
    <w:qFormat/>
    <w:uiPriority w:val="99"/>
  </w:style>
  <w:style w:type="character" w:customStyle="1" w:styleId="17">
    <w:name w:val="Alt Bilgi Char"/>
    <w:basedOn w:val="3"/>
    <w:link w:val="8"/>
    <w:qFormat/>
    <w:uiPriority w:val="99"/>
  </w:style>
  <w:style w:type="character" w:customStyle="1" w:styleId="18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Açıklama Metni Char"/>
    <w:basedOn w:val="3"/>
    <w:link w:val="7"/>
    <w:semiHidden/>
    <w:qFormat/>
    <w:uiPriority w:val="99"/>
    <w:rPr>
      <w:sz w:val="20"/>
      <w:szCs w:val="20"/>
    </w:rPr>
  </w:style>
  <w:style w:type="paragraph" w:customStyle="1" w:styleId="22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3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4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e1dfbcafa30943c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Dekan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 Görev Tanımı.dotx</Template>
  <Pages>3</Pages>
  <Words>614</Words>
  <Characters>4569</Characters>
  <Lines>36</Lines>
  <Paragraphs>10</Paragraphs>
  <TotalTime>4</TotalTime>
  <ScaleCrop>false</ScaleCrop>
  <LinksUpToDate>false</LinksUpToDate>
  <CharactersWithSpaces>5113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2025-08-21T07:28:00Z</dcterms:created>
  <dc:creator>cdemirci</dc:creator>
  <cp:lastModifiedBy>CİHAT DEMİRCİ</cp:lastModifiedBy>
  <dcterms:modified xsi:type="dcterms:W3CDTF">2025-08-21T07:35:02Z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172653C18E68499A96ADDD04C9F46E9F_13</vt:lpwstr>
  </property>
  <property fmtid="{D5CDD505-2E9C-101B-9397-08002B2CF9AE}" pid="3" name="KSOProductBuildVer">
    <vt:lpwstr>1033-12.2.0.21931</vt:lpwstr>
  </property>
</Properties>
</file>